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F3874" w14:textId="77777777" w:rsidR="009B3FF1" w:rsidRPr="00835155" w:rsidRDefault="00835155" w:rsidP="00762FBA">
      <w:pPr>
        <w:rPr>
          <w:b/>
          <w:bCs/>
          <w:color w:val="009CB4"/>
          <w:sz w:val="28"/>
          <w:szCs w:val="28"/>
        </w:rPr>
      </w:pPr>
      <w:r w:rsidRPr="00835155">
        <w:rPr>
          <w:b/>
          <w:bCs/>
          <w:color w:val="009CB4"/>
          <w:sz w:val="28"/>
          <w:szCs w:val="28"/>
        </w:rPr>
        <w:t>Hjälpdokument till personuppgiftsbiträdesavtalet</w:t>
      </w:r>
    </w:p>
    <w:p w14:paraId="2165BDB8" w14:textId="77777777" w:rsidR="009B3FF1" w:rsidRDefault="009B3FF1">
      <w:pPr>
        <w:rPr>
          <w:u w:val="single"/>
        </w:rPr>
      </w:pPr>
    </w:p>
    <w:p w14:paraId="572BEDD2" w14:textId="77777777" w:rsidR="009B3FF1" w:rsidRDefault="00835155">
      <w:pPr>
        <w:rPr>
          <w:b/>
          <w:bCs/>
        </w:rPr>
      </w:pPr>
      <w:r>
        <w:rPr>
          <w:b/>
          <w:bCs/>
        </w:rPr>
        <w:t>Inledning</w:t>
      </w:r>
    </w:p>
    <w:p w14:paraId="4B4F710C" w14:textId="50A6D8E9" w:rsidR="009B3FF1" w:rsidRDefault="00835155">
      <w:r>
        <w:t>Regler om skydd av personuppgifter framgår av dataskyddsförordningen (GDPR) och kompletterande regelverk. GDPR är lag inom alla EU:s medlemsländer sedan 2018. Syftet bakom regelverket är att skapa ett enhetligt skydd av individers personuppgifter. I verksamheten på en redovisnings</w:t>
      </w:r>
      <w:r w:rsidR="003B0BF0">
        <w:t>-/löne</w:t>
      </w:r>
      <w:r>
        <w:t>byrå hanteras personuppgifter i anknytning till kundföretagen och detta kräver att ett särskilt avtal mellan byrån och uppdragsgivaren upprättas för att följa reglerna i GDPR. Srf konsulterna har därför tagit fram en sådan avtalsmall och en kort beskrivning av de olika punkterna lämnas enligt nedan.</w:t>
      </w:r>
    </w:p>
    <w:p w14:paraId="41B0B872" w14:textId="77777777" w:rsidR="009B3FF1" w:rsidRDefault="00835155">
      <w:pPr>
        <w:rPr>
          <w:b/>
          <w:bCs/>
        </w:rPr>
      </w:pPr>
      <w:r>
        <w:rPr>
          <w:b/>
          <w:bCs/>
        </w:rPr>
        <w:t>Skäl till att teckna personuppgiftsbiträdesavtal</w:t>
      </w:r>
    </w:p>
    <w:p w14:paraId="33A0B426" w14:textId="77777777" w:rsidR="009B3FF1" w:rsidRDefault="00835155">
      <w:r>
        <w:t xml:space="preserve">Uppdragsgivaren behöver enligt GDPR ställa krav på byråns hantering av de personuppgifter som byrån får del av från uppdragsgivaren. Det ska göras i form av ett skriftligt avtal mellan parterna, som kallas för Personuppgiftsbiträdesavtal, eller ”biträdesavtal”. Detta avtal ska anpassas till den personuppgiftsbehandling som ska ske och skrivas under av båda parter. </w:t>
      </w:r>
    </w:p>
    <w:p w14:paraId="372BDB44" w14:textId="77777777" w:rsidR="009B3FF1" w:rsidRDefault="00835155">
      <w:pPr>
        <w:rPr>
          <w:b/>
          <w:bCs/>
        </w:rPr>
      </w:pPr>
      <w:r>
        <w:rPr>
          <w:b/>
          <w:bCs/>
        </w:rPr>
        <w:t>Srf konsulternas avtalsmall för personuppgiftsbiträdesavtal</w:t>
      </w:r>
    </w:p>
    <w:p w14:paraId="288781CB" w14:textId="3F592DD3" w:rsidR="009B3FF1" w:rsidRDefault="00835155">
      <w:r>
        <w:t>Srf konsulternas avtalsmall är anpassad till verksamheten på en redovisningsbyrå</w:t>
      </w:r>
      <w:r w:rsidR="00D0597F">
        <w:t xml:space="preserve"> eller lönebyrå</w:t>
      </w:r>
      <w:r>
        <w:t>. Det innebär i normalfallet att endast små förändringar behöver göras, såsom att komplettera mallen med namn på byrån och respektive uppdragsgivare, referens till uppdragsavtalet samt anpassa Bilaga 1 (Instruktionsdelen) och Bilaga 2 (Underbiträden) till uppdragsgivarens verksamhet. Avtalet ska också skrivas under av parterna. Översiktliga kommentarer avseende de olika delarna av mallen framgår enligt nedan.</w:t>
      </w:r>
    </w:p>
    <w:p w14:paraId="718B0429" w14:textId="77777777" w:rsidR="009B3FF1" w:rsidRDefault="009B3FF1"/>
    <w:p w14:paraId="7D2B9AAB" w14:textId="23F9123D" w:rsidR="009B3FF1" w:rsidRDefault="00835155">
      <w:pPr>
        <w:rPr>
          <w:b/>
          <w:bCs/>
        </w:rPr>
      </w:pPr>
      <w:r>
        <w:rPr>
          <w:b/>
          <w:bCs/>
        </w:rPr>
        <w:t>Genomgång av Srf</w:t>
      </w:r>
      <w:r w:rsidR="004B1AEB">
        <w:rPr>
          <w:b/>
          <w:bCs/>
        </w:rPr>
        <w:t xml:space="preserve"> konsulternas </w:t>
      </w:r>
      <w:proofErr w:type="spellStart"/>
      <w:r w:rsidR="004026FB">
        <w:rPr>
          <w:b/>
          <w:bCs/>
        </w:rPr>
        <w:t>p</w:t>
      </w:r>
      <w:r>
        <w:rPr>
          <w:b/>
          <w:bCs/>
        </w:rPr>
        <w:t>ersonuppgiftsbiträdesavtsmall</w:t>
      </w:r>
      <w:proofErr w:type="spellEnd"/>
      <w:r>
        <w:rPr>
          <w:b/>
          <w:bCs/>
        </w:rPr>
        <w:t xml:space="preserve"> </w:t>
      </w:r>
    </w:p>
    <w:p w14:paraId="0CD9830B" w14:textId="77777777" w:rsidR="009B3FF1" w:rsidRDefault="00835155">
      <w:r>
        <w:t xml:space="preserve">Nedan följer kortfattad beskrivning och förklaring av samtliga delar av personuppgiftsbiträdesavtalet, (huvudavtalsdelen p. </w:t>
      </w:r>
      <w:proofErr w:type="gramStart"/>
      <w:r>
        <w:t>1-13</w:t>
      </w:r>
      <w:proofErr w:type="gramEnd"/>
      <w:r>
        <w:t xml:space="preserve"> samt Bilaga </w:t>
      </w:r>
      <w:proofErr w:type="gramStart"/>
      <w:r>
        <w:t>1-3</w:t>
      </w:r>
      <w:proofErr w:type="gramEnd"/>
    </w:p>
    <w:p w14:paraId="0F84E649" w14:textId="77777777" w:rsidR="009B3FF1" w:rsidRDefault="009B3FF1"/>
    <w:p w14:paraId="78833537" w14:textId="77777777" w:rsidR="009B3FF1" w:rsidRDefault="00835155">
      <w:pPr>
        <w:pStyle w:val="Liststycke"/>
        <w:numPr>
          <w:ilvl w:val="0"/>
          <w:numId w:val="1"/>
        </w:numPr>
        <w:rPr>
          <w:b/>
          <w:bCs/>
        </w:rPr>
      </w:pPr>
      <w:r>
        <w:rPr>
          <w:b/>
          <w:bCs/>
        </w:rPr>
        <w:t>Parter</w:t>
      </w:r>
    </w:p>
    <w:p w14:paraId="5C9D6FBF" w14:textId="77777777" w:rsidR="009B3FF1" w:rsidRDefault="00835155">
      <w:r>
        <w:t>Kundföretaget som är uppdragsgivare är den som förser byrån med personuppgifter och är därmed den som har huvudansvaret, vilket i GDPR kallas personuppgiftsansvarig. Fyll därför i respektive uppdragsgivares identitet som personuppgiftsansvarig.</w:t>
      </w:r>
    </w:p>
    <w:p w14:paraId="1ED4DA77" w14:textId="3C773ED4" w:rsidR="009B3FF1" w:rsidRDefault="00835155">
      <w:r>
        <w:t>Redovisnings</w:t>
      </w:r>
      <w:r w:rsidR="00F22B69">
        <w:t>-/löne</w:t>
      </w:r>
      <w:r>
        <w:t>byrån behandlar de personuppgifter som man har erhållit enligt vad som har överens-kommits i uppdragsavtalet. Mallen ska därför fyllas i med redovisnings</w:t>
      </w:r>
      <w:r w:rsidR="0000409F">
        <w:t>-/löne</w:t>
      </w:r>
      <w:r>
        <w:t>byråns identitet som personuppgiftsbiträde.</w:t>
      </w:r>
    </w:p>
    <w:p w14:paraId="66CDC62B" w14:textId="77777777" w:rsidR="009B3FF1" w:rsidRDefault="00835155">
      <w:pPr>
        <w:pStyle w:val="Liststycke"/>
        <w:numPr>
          <w:ilvl w:val="0"/>
          <w:numId w:val="1"/>
        </w:numPr>
        <w:rPr>
          <w:b/>
          <w:bCs/>
        </w:rPr>
      </w:pPr>
      <w:r>
        <w:rPr>
          <w:b/>
          <w:bCs/>
        </w:rPr>
        <w:t>Definitioner</w:t>
      </w:r>
    </w:p>
    <w:p w14:paraId="7F384FA3" w14:textId="77777777" w:rsidR="009B3FF1" w:rsidRDefault="00835155">
      <w:r>
        <w:t xml:space="preserve">I denna del beskrivs de olika begreppen som finns med i personuppgiftsbiträdesavtalet. </w:t>
      </w:r>
    </w:p>
    <w:p w14:paraId="2E540F43" w14:textId="77777777" w:rsidR="009B3FF1" w:rsidRDefault="00835155">
      <w:pPr>
        <w:pStyle w:val="Liststycke"/>
        <w:numPr>
          <w:ilvl w:val="0"/>
          <w:numId w:val="1"/>
        </w:numPr>
        <w:rPr>
          <w:b/>
          <w:bCs/>
        </w:rPr>
      </w:pPr>
      <w:r>
        <w:rPr>
          <w:b/>
          <w:bCs/>
        </w:rPr>
        <w:t>Personuppgiftsansvarig</w:t>
      </w:r>
    </w:p>
    <w:p w14:paraId="69DA384E" w14:textId="77777777" w:rsidR="009B3FF1" w:rsidRDefault="00835155">
      <w:r>
        <w:t xml:space="preserve">Uppdragsgivaren har huvudansvaret för de personuppgifter som lämnas till byrån och benämns personuppgiftsansvarig. Under denna rubrik ingår de delar som uppdragsgivaren ansvarar för. Exempelvis ska uppdragsgivaren endast förse byrån med de personuppgifter som är nödvändiga för uppdragets utförande. Uppdragsgivaren ska också lämna information till byrån om hur dessa </w:t>
      </w:r>
      <w:r>
        <w:lastRenderedPageBreak/>
        <w:t>uppgifter får användas av byrån och om det krävs särskilda skyddsåtgärder. Uppdragsgivaren lämnar dessa instruktioner till byrån genom att Bilaga 1 (Instruktionen) fylls i.  </w:t>
      </w:r>
    </w:p>
    <w:p w14:paraId="73AF06AA" w14:textId="77777777" w:rsidR="009B3FF1" w:rsidRDefault="009B3FF1"/>
    <w:p w14:paraId="1C9F8B0A" w14:textId="77777777" w:rsidR="009B3FF1" w:rsidRDefault="00835155">
      <w:pPr>
        <w:pStyle w:val="Liststycke"/>
        <w:numPr>
          <w:ilvl w:val="0"/>
          <w:numId w:val="1"/>
        </w:numPr>
        <w:rPr>
          <w:b/>
          <w:bCs/>
        </w:rPr>
      </w:pPr>
      <w:r>
        <w:rPr>
          <w:b/>
          <w:bCs/>
        </w:rPr>
        <w:t>Personuppgiftsbiträde</w:t>
      </w:r>
    </w:p>
    <w:p w14:paraId="2FA5CC09" w14:textId="4BE41EC3" w:rsidR="009B3FF1" w:rsidRDefault="00835155">
      <w:r>
        <w:t>Redovisnings</w:t>
      </w:r>
      <w:r w:rsidR="00F7792E">
        <w:t>-/löne</w:t>
      </w:r>
      <w:r>
        <w:t>byrån är den som behandlar de personuppgifter som erhållits av uppdragsgivaren och benämns personuppgiftsbiträde. Enligt GDPR ingår även lagring i begreppet behandling, och den grundläggande principen enligt GDPR är att personuppgifter ska raderas eller återlämnas efter slutfört uppdrag, såvida inte redovisnings</w:t>
      </w:r>
      <w:r w:rsidR="00F7792E">
        <w:t>-/löne</w:t>
      </w:r>
      <w:r>
        <w:t xml:space="preserve">byrån har en egen skyldighet att fortsätta hantering av personuppgifterna efter avslutat uppdrag. Under rubriken ”Personuppgiftsbiträde” framgår de skyldigheter som vilar på byrån och behöver därför noggrant läsas igenom av byrån. </w:t>
      </w:r>
    </w:p>
    <w:p w14:paraId="0691411A" w14:textId="77777777" w:rsidR="009B3FF1" w:rsidRDefault="00835155">
      <w:r>
        <w:t>Exempel på skyldigheter som byrån har är att:</w:t>
      </w:r>
    </w:p>
    <w:p w14:paraId="0D7B2F08" w14:textId="77777777" w:rsidR="009B3FF1" w:rsidRDefault="00835155">
      <w:pPr>
        <w:pStyle w:val="Liststycke"/>
        <w:numPr>
          <w:ilvl w:val="0"/>
          <w:numId w:val="2"/>
        </w:numPr>
      </w:pPr>
      <w:r>
        <w:t>Endast behandla personuppgifterna i enlighet med biträdesavtalet och för ändamålen i uppdragsavtalet</w:t>
      </w:r>
    </w:p>
    <w:p w14:paraId="49C7FC4E" w14:textId="77777777" w:rsidR="009B3FF1" w:rsidRDefault="00835155">
      <w:pPr>
        <w:pStyle w:val="Liststycke"/>
        <w:numPr>
          <w:ilvl w:val="0"/>
          <w:numId w:val="2"/>
        </w:numPr>
      </w:pPr>
      <w:r>
        <w:t xml:space="preserve">Iaktta sekretess vid behandlingen </w:t>
      </w:r>
    </w:p>
    <w:p w14:paraId="1827113C" w14:textId="77777777" w:rsidR="009B3FF1" w:rsidRDefault="00835155">
      <w:pPr>
        <w:pStyle w:val="Liststycke"/>
        <w:numPr>
          <w:ilvl w:val="0"/>
          <w:numId w:val="2"/>
        </w:numPr>
      </w:pPr>
      <w:r>
        <w:t>Säkerställa att inga obehöriga får del av personuppgifterna och att de skyddas på ett tillräckligt sätt</w:t>
      </w:r>
    </w:p>
    <w:p w14:paraId="2DCCD68E" w14:textId="77777777" w:rsidR="009B3FF1" w:rsidRDefault="009B3FF1">
      <w:pPr>
        <w:pStyle w:val="Liststycke"/>
      </w:pPr>
    </w:p>
    <w:p w14:paraId="264FE26D" w14:textId="77777777" w:rsidR="009B3FF1" w:rsidRDefault="00835155">
      <w:pPr>
        <w:pStyle w:val="Liststycke"/>
        <w:numPr>
          <w:ilvl w:val="0"/>
          <w:numId w:val="1"/>
        </w:numPr>
        <w:rPr>
          <w:b/>
          <w:bCs/>
        </w:rPr>
      </w:pPr>
      <w:r>
        <w:rPr>
          <w:b/>
          <w:bCs/>
        </w:rPr>
        <w:t>Förändrade villkor eller förutsättningar</w:t>
      </w:r>
    </w:p>
    <w:p w14:paraId="61AE2518" w14:textId="7DCE8B11" w:rsidR="009B3FF1" w:rsidRDefault="00835155">
      <w:r>
        <w:t>Även om uppdragsgivaren lägger ut personuppgiftsbehandling på redovisnings</w:t>
      </w:r>
      <w:r w:rsidR="00DD531B">
        <w:t>-/löne</w:t>
      </w:r>
      <w:r>
        <w:t>byrån är uppdragsgivaren fortfarande huvudansvarig för skyddet av de personuppgifter som lämnats över till redovisnings</w:t>
      </w:r>
      <w:r w:rsidR="00DD531B">
        <w:t>-/löne</w:t>
      </w:r>
      <w:r>
        <w:t xml:space="preserve">byrån och för att GDPR följs. Om byrån upptäcker svårigheter med att följa personuppgiftsbiträdesavtalet på någon punkt, och att det inte går att rätta till, så måste byrån informera uppdragsgivaren om detta. </w:t>
      </w:r>
    </w:p>
    <w:p w14:paraId="70D1FE14" w14:textId="77777777" w:rsidR="009B3FF1" w:rsidRDefault="00835155">
      <w:pPr>
        <w:pStyle w:val="Liststycke"/>
        <w:numPr>
          <w:ilvl w:val="0"/>
          <w:numId w:val="1"/>
        </w:numPr>
        <w:rPr>
          <w:b/>
          <w:bCs/>
        </w:rPr>
      </w:pPr>
      <w:r>
        <w:rPr>
          <w:b/>
          <w:bCs/>
        </w:rPr>
        <w:t>Anlitande av underbiträde</w:t>
      </w:r>
    </w:p>
    <w:p w14:paraId="430D48D7" w14:textId="45898016" w:rsidR="009B3FF1" w:rsidRDefault="00835155">
      <w:r>
        <w:t>Om redovisnings</w:t>
      </w:r>
      <w:r w:rsidR="0000409F">
        <w:t>-/löne</w:t>
      </w:r>
      <w:r>
        <w:t xml:space="preserve">byrån vill använda sig av samarbetspartners (s.k. underbiträden), som också ska ta del av uppdragsgivarens personuppgifter, så behöver det godkännas av uppdragsgivaren. Det kan </w:t>
      </w:r>
      <w:proofErr w:type="gramStart"/>
      <w:r>
        <w:t>t.ex.</w:t>
      </w:r>
      <w:proofErr w:type="gramEnd"/>
      <w:r>
        <w:t xml:space="preserve">  röra sig om en systemleverantör som byrån använder sig av och som får del av personuppgifterna för lagring eller annan hantering. Ett sådant underbiträde ska godkännas av uppdragsgivaren. Det görs genom att redovisnings</w:t>
      </w:r>
      <w:r w:rsidR="000564EA">
        <w:t>-/löne</w:t>
      </w:r>
      <w:r>
        <w:t xml:space="preserve">byrån fyller i uppgifter om underbiträdet i personuppgiftsbiträdesavtalets Bilaga 2 (Underbiträden). </w:t>
      </w:r>
    </w:p>
    <w:p w14:paraId="6FB03871" w14:textId="77777777" w:rsidR="009B3FF1" w:rsidRDefault="00835155">
      <w:pPr>
        <w:pStyle w:val="Liststycke"/>
        <w:numPr>
          <w:ilvl w:val="0"/>
          <w:numId w:val="1"/>
        </w:numPr>
      </w:pPr>
      <w:r>
        <w:rPr>
          <w:b/>
          <w:bCs/>
        </w:rPr>
        <w:t>Tillgång till Personuppgifter</w:t>
      </w:r>
      <w:r>
        <w:rPr>
          <w:b/>
          <w:bCs/>
          <w:sz w:val="32"/>
          <w:szCs w:val="32"/>
        </w:rPr>
        <w:t xml:space="preserve"> </w:t>
      </w:r>
    </w:p>
    <w:p w14:paraId="56724D2C" w14:textId="1B88C21C" w:rsidR="009B3FF1" w:rsidRDefault="00835155">
      <w:r>
        <w:t>Redovisnings</w:t>
      </w:r>
      <w:r w:rsidR="0000409F">
        <w:t>-/löne</w:t>
      </w:r>
      <w:r>
        <w:t xml:space="preserve">byrån ska se till att de personuppgifter som man får del av omfattas av säkerhet av olika slag. Främst genom att byrån ser till att endast personer som behöver uppgifterna för att utföra arbetet enligt uppdragsavtalet får del av dem. Byrån ska också se till att de personer som hanterar uppdragsgivarens uppgifter har tystnadsplikt avseende arbetet och att dessa personer har tillräcklig kunskap om dataskyddsregler för att kunna hantera personuppgifter säkert. (exempelvis kunna identifiera en incident och veta hur man ska agera vid en sådan).  </w:t>
      </w:r>
    </w:p>
    <w:p w14:paraId="7A077037" w14:textId="77777777" w:rsidR="009B3FF1" w:rsidRDefault="00835155">
      <w:r>
        <w:t xml:space="preserve">Byrån måste också informera sig om vilken typ av säkerhetsrutiner, och teknisk säkerhet, såsom brandväggar mm som är nödvändiga för att skydda personuppgifterna. Ju känsligare personuppgifter byrån ska behandla, desto mer säkerhet krävs för uppgifterna. </w:t>
      </w:r>
    </w:p>
    <w:p w14:paraId="2F7D6E3E" w14:textId="77777777" w:rsidR="004A5723" w:rsidRDefault="004A5723"/>
    <w:p w14:paraId="612C780F" w14:textId="77777777" w:rsidR="009B3FF1" w:rsidRDefault="00835155">
      <w:pPr>
        <w:pStyle w:val="Liststycke"/>
        <w:numPr>
          <w:ilvl w:val="0"/>
          <w:numId w:val="1"/>
        </w:numPr>
        <w:rPr>
          <w:b/>
          <w:bCs/>
        </w:rPr>
      </w:pPr>
      <w:r>
        <w:rPr>
          <w:b/>
          <w:bCs/>
        </w:rPr>
        <w:t>Överföring av Personuppgifter utanför EU-EES</w:t>
      </w:r>
    </w:p>
    <w:p w14:paraId="0206D076" w14:textId="5E996AA0" w:rsidR="009B3FF1" w:rsidRDefault="00835155">
      <w:r>
        <w:lastRenderedPageBreak/>
        <w:t>Redovisnings</w:t>
      </w:r>
      <w:r w:rsidR="000564EA">
        <w:t>-/löne</w:t>
      </w:r>
      <w:r>
        <w:t xml:space="preserve">byrån får inte överföra personuppgifter till mottagare utanför EU-EES (s.k. tredje land) utan att uppdragsgivaren medger det. Om det är nödvändigt för byrån att anlita en samarbetspartner som har sin verksamhet i tredje land kan uppdragsgivaren lämna medgivande genom att byrån fyller i uppgifter om samarbetspartnern i personuppgiftsbiträdesavtalets Bilaga 2 (Underbiträden). </w:t>
      </w:r>
    </w:p>
    <w:p w14:paraId="5A77FFC1" w14:textId="77777777" w:rsidR="009B3FF1" w:rsidRDefault="00835155">
      <w:pPr>
        <w:pStyle w:val="Liststycke"/>
        <w:numPr>
          <w:ilvl w:val="0"/>
          <w:numId w:val="1"/>
        </w:numPr>
        <w:rPr>
          <w:b/>
          <w:bCs/>
        </w:rPr>
      </w:pPr>
      <w:r>
        <w:rPr>
          <w:b/>
          <w:bCs/>
        </w:rPr>
        <w:t xml:space="preserve">Rapportering av personuppgiftsincidenter </w:t>
      </w:r>
    </w:p>
    <w:p w14:paraId="489B747E" w14:textId="77777777" w:rsidR="009B3FF1" w:rsidRDefault="00835155">
      <w:r>
        <w:t xml:space="preserve">En personuppgiftsincident innebär att personuppgifter oavsiktlig eller olagligt förstörs, försvinner, ändras om personuppgifter röjs till obehörig. </w:t>
      </w:r>
    </w:p>
    <w:p w14:paraId="0ED0ED67" w14:textId="77777777" w:rsidR="009B3FF1" w:rsidRDefault="00835155">
      <w:r>
        <w:t xml:space="preserve">En incident kan uppstå på många olika sätt, exempelvis genom att företaget blir utsatt för hackers, eller om en </w:t>
      </w:r>
      <w:proofErr w:type="spellStart"/>
      <w:r>
        <w:t>okrypterad</w:t>
      </w:r>
      <w:proofErr w:type="spellEnd"/>
      <w:r>
        <w:t xml:space="preserve"> dator blir stulen eller tappas bort. En incident kan uppstå på ett så enkelt sätt som att en anställd mejlar en lista med personuppgifter till fel mottagare.  </w:t>
      </w:r>
    </w:p>
    <w:p w14:paraId="003043EA" w14:textId="315C660C" w:rsidR="009B3FF1" w:rsidRDefault="00835155">
      <w:r>
        <w:t>Om en personuppgiftsincident sker hos redovisnings</w:t>
      </w:r>
      <w:r w:rsidR="00723B00">
        <w:t>-/löne</w:t>
      </w:r>
      <w:r>
        <w:t xml:space="preserve">byrån ska byrån snarast möjligt underrätta uppdragsgivaren om detta. En sådan underrättelse ska innehålla information om incidenten och vilka uppgifter som omfattas av incidenten så att uppdragsgivaren kan vidta lämpliga åtgärder och uppfylla sin skyldighet att anmäla personuppgiftsincidenter till Integritetsskyddsmyndigheten. </w:t>
      </w:r>
    </w:p>
    <w:p w14:paraId="56AA2406" w14:textId="77777777" w:rsidR="009B3FF1" w:rsidRDefault="00835155">
      <w:pPr>
        <w:pStyle w:val="Liststycke"/>
        <w:numPr>
          <w:ilvl w:val="0"/>
          <w:numId w:val="1"/>
        </w:numPr>
        <w:rPr>
          <w:b/>
          <w:bCs/>
        </w:rPr>
      </w:pPr>
      <w:r>
        <w:rPr>
          <w:b/>
          <w:bCs/>
        </w:rPr>
        <w:t>Samverkan</w:t>
      </w:r>
    </w:p>
    <w:p w14:paraId="5834E6FA" w14:textId="4567C832" w:rsidR="009B3FF1" w:rsidRDefault="00835155">
      <w:r>
        <w:t xml:space="preserve">Genom GDPR har enskilda personer fått särskilda rättigheter avseende sina personuppgifter. Uppdragsgivaren behöver kunna agera på förfrågningar från enskilda, </w:t>
      </w:r>
      <w:proofErr w:type="gramStart"/>
      <w:r>
        <w:t>t.ex.</w:t>
      </w:r>
      <w:proofErr w:type="gramEnd"/>
      <w:r>
        <w:t xml:space="preserve"> genom att kunna lämna ut information om vilka personuppgifter som uppdragsgivaren behandlar om denne. Uppdragsgivare kan också behöva radera personuppgifter på uppmaning av en enskild person. Om redovisnings</w:t>
      </w:r>
      <w:r w:rsidR="00723B00">
        <w:t>-/löne</w:t>
      </w:r>
      <w:r>
        <w:t>byrån mottar begäran om dessa rättigheter från enskilda personer, eller blir kontaktad av tillsynsmyndighet som vill utöva tillsyn över hanteringen av personuppgifter ska byrån omgående informera uppdragsgivaren om detta, och bistå uppdragsgivaren med information och annat stöd i den mån det är möjligt.</w:t>
      </w:r>
    </w:p>
    <w:p w14:paraId="008DE329" w14:textId="77777777" w:rsidR="009B3FF1" w:rsidRDefault="00835155">
      <w:pPr>
        <w:pStyle w:val="Liststycke"/>
        <w:numPr>
          <w:ilvl w:val="0"/>
          <w:numId w:val="1"/>
        </w:numPr>
        <w:rPr>
          <w:b/>
          <w:bCs/>
        </w:rPr>
      </w:pPr>
      <w:r>
        <w:rPr>
          <w:b/>
          <w:bCs/>
        </w:rPr>
        <w:t>Rätt till revision</w:t>
      </w:r>
    </w:p>
    <w:p w14:paraId="5E50434E" w14:textId="77777777" w:rsidR="009B3FF1" w:rsidRDefault="00835155">
      <w:r>
        <w:t xml:space="preserve">Som tidigare beskrivits är uppdragsgivaren huvudansvarig för hanteringen av personuppgifterna inom ramen för uppdragsavtalet. Det innebär att uppdragsgivaren behöver säkerställa att de samarbetspartners som anlitats följer dataskyddslagstiftningen. Uppdragsgivaren kan välja att själv utföra revision/granskning av sina samarbetspartners eller att ge en oberoende revisor i uppdrag att granska huruvida kraven i personuppgiftsbiträdesavtalet och gällande dataskyddsregler följs. </w:t>
      </w:r>
    </w:p>
    <w:p w14:paraId="4832F602" w14:textId="77777777" w:rsidR="009B3FF1" w:rsidRDefault="00835155">
      <w:r>
        <w:t>Revisioner/granskningar kan även omfatta inspektioner i byråns lokaler eller fysiska anläggningar och ska, när så är lämpligt, utföras med rimligt varsel (högst årligen).</w:t>
      </w:r>
    </w:p>
    <w:p w14:paraId="66147487" w14:textId="77777777" w:rsidR="009B3FF1" w:rsidRDefault="00835155">
      <w:r>
        <w:t>Vid eventuell revision från uppdragsgivaren behöver byrån kunna svara på frågor om sin hantering av personuppgifterna som uppdragsgivaren lämnat över till byrån.</w:t>
      </w:r>
    </w:p>
    <w:p w14:paraId="39C75C06" w14:textId="77777777" w:rsidR="009B3FF1" w:rsidRDefault="00835155">
      <w:pPr>
        <w:pStyle w:val="Liststycke"/>
        <w:numPr>
          <w:ilvl w:val="0"/>
          <w:numId w:val="1"/>
        </w:numPr>
        <w:rPr>
          <w:b/>
          <w:bCs/>
        </w:rPr>
      </w:pPr>
      <w:r>
        <w:rPr>
          <w:b/>
          <w:bCs/>
        </w:rPr>
        <w:t>Skadestånd</w:t>
      </w:r>
    </w:p>
    <w:p w14:paraId="30222B1F" w14:textId="77777777" w:rsidR="009B3FF1" w:rsidRDefault="00835155">
      <w:r>
        <w:t xml:space="preserve">Om en enskild person lider skada p.g.a. felaktig hantering av personuppgifter har denne person rätt att begära ersättning från personuppgiftsansvarig eller personuppgiftsbiträdet. Personuppgiftsbiträdet (byrån) är enbart ansvarig för skada som uppkommit till följd av att biträdet inte fullgjort sina skyldigheter enligt GDPR och agerat utanför personuppgiftsansvariges (uppdragsgivarens) instruktioner eller brutit mot personuppgiftsbiträdesavtalet. </w:t>
      </w:r>
    </w:p>
    <w:p w14:paraId="29DD0F0B" w14:textId="77777777" w:rsidR="009B3FF1" w:rsidRDefault="00835155">
      <w:r>
        <w:t>Om en enskild skulle rikta sina krav mot byrån, och byrån blir skyldig att utge ersättning till den enskilde, har byrån rätt att återkräva den del av utlagd ersättning som motsvarar uppdragsgivarens del av ansvaret.</w:t>
      </w:r>
    </w:p>
    <w:p w14:paraId="2096D71D" w14:textId="77777777" w:rsidR="009B3FF1" w:rsidRDefault="00835155">
      <w:pPr>
        <w:pStyle w:val="Liststycke"/>
        <w:numPr>
          <w:ilvl w:val="0"/>
          <w:numId w:val="1"/>
        </w:numPr>
        <w:rPr>
          <w:b/>
          <w:bCs/>
        </w:rPr>
      </w:pPr>
      <w:r>
        <w:rPr>
          <w:b/>
          <w:bCs/>
        </w:rPr>
        <w:lastRenderedPageBreak/>
        <w:t>Giltighetstid och avslut</w:t>
      </w:r>
    </w:p>
    <w:p w14:paraId="55C73D43" w14:textId="55938EDA" w:rsidR="009B3FF1" w:rsidRDefault="00835155">
      <w:r>
        <w:t>Personuppgiftsbehandlingen för uppdragsgivarens räkning sker endast så länge uppdragsavtalet pågår, vilket innebär att regler för giltighetstid och avslut är de samma för personuppgiftsbiträdesavtalet som för uppdragsavtalet. Om parterna tecknar ett nytt uppdragsavtal så kan det tidigare biträdesavtalet fortsätta att gälla. Observera dock att det kan behöva göras justeringar i biträdesavtalet om redovisnings</w:t>
      </w:r>
      <w:r w:rsidR="00723B00">
        <w:t>-/löne</w:t>
      </w:r>
      <w:r>
        <w:t>byrån får tillgång till nya personuppgifter eller ska hantera dem på ett nytt sätt genom det nya uppdragsavtalet.</w:t>
      </w:r>
    </w:p>
    <w:p w14:paraId="5786295A" w14:textId="77777777" w:rsidR="009B3FF1" w:rsidRDefault="00835155">
      <w:r>
        <w:rPr>
          <w:noProof/>
        </w:rPr>
        <mc:AlternateContent>
          <mc:Choice Requires="wps">
            <w:drawing>
              <wp:anchor distT="0" distB="0" distL="114300" distR="114300" simplePos="0" relativeHeight="251659264" behindDoc="1" locked="0" layoutInCell="1" allowOverlap="1" wp14:anchorId="0DF071CC" wp14:editId="5C4A5CB3">
                <wp:simplePos x="0" y="0"/>
                <wp:positionH relativeFrom="column">
                  <wp:posOffset>-137790</wp:posOffset>
                </wp:positionH>
                <wp:positionV relativeFrom="paragraph">
                  <wp:posOffset>1126485</wp:posOffset>
                </wp:positionV>
                <wp:extent cx="6000749" cy="1724028"/>
                <wp:effectExtent l="0" t="0" r="19051" b="28572"/>
                <wp:wrapNone/>
                <wp:docPr id="295476499" name="Rektangel 1"/>
                <wp:cNvGraphicFramePr/>
                <a:graphic xmlns:a="http://schemas.openxmlformats.org/drawingml/2006/main">
                  <a:graphicData uri="http://schemas.microsoft.com/office/word/2010/wordprocessingShape">
                    <wps:wsp>
                      <wps:cNvSpPr/>
                      <wps:spPr>
                        <a:xfrm>
                          <a:off x="0" y="0"/>
                          <a:ext cx="6000749" cy="1724028"/>
                        </a:xfrm>
                        <a:prstGeom prst="rect">
                          <a:avLst/>
                        </a:prstGeom>
                        <a:solidFill>
                          <a:srgbClr val="E7E6E6"/>
                        </a:solidFill>
                        <a:ln w="12701" cap="flat">
                          <a:solidFill>
                            <a:srgbClr val="172C51"/>
                          </a:solidFill>
                          <a:prstDash val="solid"/>
                          <a:miter/>
                        </a:ln>
                      </wps:spPr>
                      <wps:bodyPr lIns="0" tIns="0" rIns="0" bIns="0"/>
                    </wps:wsp>
                  </a:graphicData>
                </a:graphic>
              </wp:anchor>
            </w:drawing>
          </mc:Choice>
          <mc:Fallback>
            <w:pict>
              <v:rect w14:anchorId="4312392A" id="Rektangel 1" o:spid="_x0000_s1026" style="position:absolute;margin-left:-10.85pt;margin-top:88.7pt;width:472.5pt;height:135.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" fillcolor="#e7e6e6" strokecolor="#172c51" strokeweight=".35281mm">
                <v:textbox inset="0,0,0,0"/>
              </v:rect>
            </w:pict>
          </mc:Fallback>
        </mc:AlternateContent>
      </w:r>
      <w:r>
        <w:t xml:space="preserve">Efter uppsägning av uppdragsavtalet ska byrån inte längre hantera personuppgifterna som tillhör uppdragsgivaren för dennes räkning, och då behöver det framgå av biträdesavtalet om uppdragsgivaren vill ha tillbaka uppgifterna eller om byrån ska radera dessa. Biträdesavtalet innehåller två val som speglar hur reglerna om biträdesavtal i GDPR ser ut; Alternativ 1 (permanent radering) och Alternativ 2 (omedelbar returnering av uppgifterna till uppdragsgivaren). Det alternativ som är tillämpligt behålls, och det andra alternativet tas bort från biträdesavtalet. </w:t>
      </w:r>
    </w:p>
    <w:p w14:paraId="50ED3EC1" w14:textId="77777777" w:rsidR="009B3FF1" w:rsidRDefault="00835155">
      <w:r>
        <w:rPr>
          <w:b/>
          <w:bCs/>
        </w:rPr>
        <w:t xml:space="preserve">Observera </w:t>
      </w:r>
      <w:r>
        <w:t xml:space="preserve">att både uppdragsgivaren och byrån kan ha skäl att spara uppgifter efter uppdragets upphörande av andra skäl än dem som rör byråns tjänster under uppdragsavtalet. Uppdragsgivaren kan exempelvis ha skyldigheter att bevara personuppgifterna för att uppfylla lagstiftning, såsom att lagra uppgifter för kundkännedom enligt lagen om åtgärder mot penningtvätt och finansiering av terrorism, eller kravet att bevara räkenskapsinformation enligt bokföringslagen. </w:t>
      </w:r>
    </w:p>
    <w:p w14:paraId="388D62E2" w14:textId="77777777" w:rsidR="009B3FF1" w:rsidRDefault="00835155">
      <w:r>
        <w:t xml:space="preserve">Byrån kan å sin sida ha ett intresse av att kunna skydda sina intressen efter en reklamation eller i en uppkommen tvist från en uppdragsgivare och därmed spara de uppgifter som är nödvändiga för att kunna försvara sina intressen till dess att tvisten är avgjord. </w:t>
      </w:r>
    </w:p>
    <w:p w14:paraId="231739BE" w14:textId="77777777" w:rsidR="009B3FF1" w:rsidRDefault="009B3FF1"/>
    <w:p w14:paraId="4D0EE5FF" w14:textId="77777777" w:rsidR="009B3FF1" w:rsidRDefault="00835155">
      <w:pPr>
        <w:rPr>
          <w:b/>
          <w:bCs/>
        </w:rPr>
      </w:pPr>
      <w:r>
        <w:rPr>
          <w:b/>
          <w:bCs/>
        </w:rPr>
        <w:t>Bilaga 1, Instruktion</w:t>
      </w:r>
    </w:p>
    <w:p w14:paraId="4F9A3569" w14:textId="77777777" w:rsidR="009B3FF1" w:rsidRDefault="00835155">
      <w:r>
        <w:t xml:space="preserve">Denna bilaga fylls i av uppdragsgivaren som känner till vilka personuppgifter byrån kommer att ta del av och skälen till detta. </w:t>
      </w:r>
    </w:p>
    <w:p w14:paraId="69FFEBD0" w14:textId="77777777" w:rsidR="009B3FF1" w:rsidRDefault="009B3FF1">
      <w:pPr>
        <w:rPr>
          <w:b/>
          <w:bCs/>
        </w:rPr>
      </w:pPr>
    </w:p>
    <w:p w14:paraId="1A066F45" w14:textId="77777777" w:rsidR="009B3FF1" w:rsidRDefault="00835155">
      <w:pPr>
        <w:rPr>
          <w:b/>
          <w:bCs/>
        </w:rPr>
      </w:pPr>
      <w:r>
        <w:rPr>
          <w:b/>
          <w:bCs/>
        </w:rPr>
        <w:t xml:space="preserve">Bilaga 2, Underbiträden </w:t>
      </w:r>
    </w:p>
    <w:p w14:paraId="03E76257" w14:textId="6B0AD6C8" w:rsidR="009B3FF1" w:rsidRDefault="00835155">
      <w:r>
        <w:t>Denna bilaga fylls i av redovisnings</w:t>
      </w:r>
      <w:r w:rsidR="005131FE">
        <w:t>-/löne</w:t>
      </w:r>
      <w:r>
        <w:t xml:space="preserve">byrån, som är den part som känner till vilka samarbetspartners denne använder sig av vid behandlingen av uppdragsgivarens personuppgifter. </w:t>
      </w:r>
    </w:p>
    <w:p w14:paraId="5EB466E4" w14:textId="77777777" w:rsidR="009B3FF1" w:rsidRDefault="009B3FF1">
      <w:pPr>
        <w:rPr>
          <w:b/>
          <w:bCs/>
        </w:rPr>
      </w:pPr>
    </w:p>
    <w:p w14:paraId="49DC1703" w14:textId="77777777" w:rsidR="009B3FF1" w:rsidRDefault="00835155">
      <w:pPr>
        <w:rPr>
          <w:b/>
          <w:bCs/>
        </w:rPr>
      </w:pPr>
      <w:r>
        <w:rPr>
          <w:b/>
          <w:bCs/>
        </w:rPr>
        <w:t>Bilaga 3, Säkerhetsåtgärder</w:t>
      </w:r>
    </w:p>
    <w:p w14:paraId="1B6BB44B" w14:textId="659C5744" w:rsidR="009B3FF1" w:rsidRDefault="00835155">
      <w:r>
        <w:t>Denna bilaga är ett tillägg till de krav som ställs på redovisnings</w:t>
      </w:r>
      <w:r w:rsidR="005131FE">
        <w:t>-/löne</w:t>
      </w:r>
      <w:r>
        <w:t xml:space="preserve">byrån enligt personuppgiftsbiträdesavtalet (se punkt 4. Personuppgiftsbiträde där säkerhetskraven på byrån framgår). Om uppdragsgivaren kommer att lämna över känsliga uppgifter till byrån (exempelvis uppgifter om enskildas sjukskrivning och hälsotillstånd eller annan känslig information om enskilda, som kräver särskilda säkerhetsåtgärder, så kan Bilaga 3 läggas till avtalet, och fyllas i av uppdragsgivaren. </w:t>
      </w:r>
    </w:p>
    <w:sectPr w:rsidR="009B3FF1">
      <w:footerReference w:type="default" r:id="rId10"/>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D8B04" w14:textId="77777777" w:rsidR="00442B78" w:rsidRDefault="00442B78">
      <w:pPr>
        <w:spacing w:after="0" w:line="240" w:lineRule="auto"/>
      </w:pPr>
      <w:r>
        <w:separator/>
      </w:r>
    </w:p>
  </w:endnote>
  <w:endnote w:type="continuationSeparator" w:id="0">
    <w:p w14:paraId="47B352FC" w14:textId="77777777" w:rsidR="00442B78" w:rsidRDefault="00442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77C31" w14:textId="4DDD4C5D" w:rsidR="008F3262" w:rsidRDefault="00991EF7">
    <w:pPr>
      <w:pStyle w:val="Sidfot"/>
    </w:pPr>
    <w:r w:rsidRPr="00D22609">
      <w:rPr>
        <w:sz w:val="18"/>
        <w:szCs w:val="18"/>
      </w:rPr>
      <w:t xml:space="preserve">© Srf konsulterna mall </w:t>
    </w:r>
    <w:r>
      <w:rPr>
        <w:sz w:val="18"/>
        <w:szCs w:val="18"/>
      </w:rPr>
      <w:t>330</w:t>
    </w:r>
    <w:r w:rsidRPr="00D22609">
      <w:rPr>
        <w:sz w:val="18"/>
        <w:szCs w:val="18"/>
      </w:rPr>
      <w:t>.</w:t>
    </w:r>
    <w:r>
      <w:rPr>
        <w:sz w:val="18"/>
        <w:szCs w:val="18"/>
      </w:rPr>
      <w:t>9</w:t>
    </w:r>
    <w:r w:rsidR="001266DA">
      <w:rPr>
        <w:sz w:val="18"/>
        <w:szCs w:val="18"/>
      </w:rPr>
      <w:t>.1</w:t>
    </w:r>
    <w:r w:rsidRPr="00D22609">
      <w:rPr>
        <w:sz w:val="18"/>
        <w:szCs w:val="18"/>
      </w:rPr>
      <w:t xml:space="preserve"> version 20</w:t>
    </w:r>
    <w:r>
      <w:rPr>
        <w:sz w:val="18"/>
        <w:szCs w:val="18"/>
      </w:rPr>
      <w:t>2</w:t>
    </w:r>
    <w:r w:rsidR="00795991">
      <w:rPr>
        <w:sz w:val="18"/>
        <w:szCs w:val="18"/>
      </w:rPr>
      <w:t>4.1</w:t>
    </w:r>
    <w:r>
      <w:ptab w:relativeTo="margin" w:alignment="center" w:leader="none"/>
    </w:r>
    <w:r w:rsidR="001266DA">
      <w:fldChar w:fldCharType="begin"/>
    </w:r>
    <w:r w:rsidR="001266DA">
      <w:instrText>PAGE   \* MERGEFORMAT</w:instrText>
    </w:r>
    <w:r w:rsidR="001266DA">
      <w:fldChar w:fldCharType="separate"/>
    </w:r>
    <w:r w:rsidR="001266DA">
      <w:t>1</w:t>
    </w:r>
    <w:r w:rsidR="001266DA">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B34DE" w14:textId="77777777" w:rsidR="00442B78" w:rsidRDefault="00442B78">
      <w:pPr>
        <w:spacing w:after="0" w:line="240" w:lineRule="auto"/>
      </w:pPr>
      <w:r>
        <w:rPr>
          <w:color w:val="000000"/>
        </w:rPr>
        <w:separator/>
      </w:r>
    </w:p>
  </w:footnote>
  <w:footnote w:type="continuationSeparator" w:id="0">
    <w:p w14:paraId="76A8F75C" w14:textId="77777777" w:rsidR="00442B78" w:rsidRDefault="00442B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05B88"/>
    <w:multiLevelType w:val="multilevel"/>
    <w:tmpl w:val="7E447A28"/>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5435C2B"/>
    <w:multiLevelType w:val="multilevel"/>
    <w:tmpl w:val="34865E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9731710">
    <w:abstractNumId w:val="1"/>
  </w:num>
  <w:num w:numId="2" w16cid:durableId="1567448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FF1"/>
    <w:rsid w:val="0000409F"/>
    <w:rsid w:val="000564EA"/>
    <w:rsid w:val="001266DA"/>
    <w:rsid w:val="00145115"/>
    <w:rsid w:val="002F0763"/>
    <w:rsid w:val="003B0BF0"/>
    <w:rsid w:val="004026FB"/>
    <w:rsid w:val="004378D1"/>
    <w:rsid w:val="00442B78"/>
    <w:rsid w:val="004A5723"/>
    <w:rsid w:val="004B1AEB"/>
    <w:rsid w:val="005131FE"/>
    <w:rsid w:val="00607FFD"/>
    <w:rsid w:val="00723B00"/>
    <w:rsid w:val="00724791"/>
    <w:rsid w:val="00762FBA"/>
    <w:rsid w:val="00795991"/>
    <w:rsid w:val="00835155"/>
    <w:rsid w:val="008F3262"/>
    <w:rsid w:val="00954A82"/>
    <w:rsid w:val="00991EF7"/>
    <w:rsid w:val="009B3FF1"/>
    <w:rsid w:val="009B5168"/>
    <w:rsid w:val="00BD146F"/>
    <w:rsid w:val="00BF0568"/>
    <w:rsid w:val="00C0447C"/>
    <w:rsid w:val="00C1270C"/>
    <w:rsid w:val="00CC4221"/>
    <w:rsid w:val="00D0597F"/>
    <w:rsid w:val="00DD531B"/>
    <w:rsid w:val="00F22B69"/>
    <w:rsid w:val="00F779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7522A"/>
  <w15:docId w15:val="{A8B41D0A-80BF-47FF-AEDD-71F1D4E6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sv-SE" w:eastAsia="en-US"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pPr>
      <w:ind w:left="720"/>
      <w:contextualSpacing/>
    </w:pPr>
  </w:style>
  <w:style w:type="paragraph" w:styleId="Sidhuvud">
    <w:name w:val="header"/>
    <w:basedOn w:val="Normal"/>
    <w:pPr>
      <w:tabs>
        <w:tab w:val="center" w:pos="4536"/>
        <w:tab w:val="right" w:pos="9072"/>
      </w:tabs>
      <w:spacing w:after="0" w:line="240" w:lineRule="auto"/>
    </w:pPr>
  </w:style>
  <w:style w:type="character" w:customStyle="1" w:styleId="SidhuvudChar">
    <w:name w:val="Sidhuvud Char"/>
    <w:basedOn w:val="Standardstycketeckensnitt"/>
  </w:style>
  <w:style w:type="paragraph" w:styleId="Sidfot">
    <w:name w:val="footer"/>
    <w:basedOn w:val="Normal"/>
    <w:pPr>
      <w:tabs>
        <w:tab w:val="center" w:pos="4536"/>
        <w:tab w:val="right" w:pos="9072"/>
      </w:tabs>
      <w:spacing w:after="0" w:line="240" w:lineRule="auto"/>
    </w:pPr>
  </w:style>
  <w:style w:type="character" w:customStyle="1" w:styleId="SidfotChar">
    <w:name w:val="Sidfot Cha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9B1932512ED344393C661E698BAE385" ma:contentTypeVersion="19" ma:contentTypeDescription="Skapa ett nytt dokument." ma:contentTypeScope="" ma:versionID="21c7f2ecacd25e991e30664227910c25">
  <xsd:schema xmlns:xsd="http://www.w3.org/2001/XMLSchema" xmlns:xs="http://www.w3.org/2001/XMLSchema" xmlns:p="http://schemas.microsoft.com/office/2006/metadata/properties" xmlns:ns2="fdc6804c-68ec-48bb-934e-d70b05f43593" xmlns:ns3="079b3afd-a485-44c8-b989-dcacfcc14166" targetNamespace="http://schemas.microsoft.com/office/2006/metadata/properties" ma:root="true" ma:fieldsID="25686fbc3e975c5dbc3e3b1de1f20806" ns2:_="" ns3:_="">
    <xsd:import namespace="fdc6804c-68ec-48bb-934e-d70b05f43593"/>
    <xsd:import namespace="079b3afd-a485-44c8-b989-dcacfcc14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Kommentar" minOccurs="0"/>
                <xsd:element ref="ns2:Klarf_x00f6_rkorrl_x00e4_sning" minOccurs="0"/>
                <xsd:element ref="ns2:Tilldelad" minOccurs="0"/>
                <xsd:element ref="ns2: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Sistainl_x00e4_mningsd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6804c-68ec-48bb-934e-d70b05f43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Kommentar" ma:index="14" nillable="true" ma:displayName="Kommentar" ma:format="Dropdown" ma:internalName="Kommentar">
      <xsd:simpleType>
        <xsd:restriction base="dms:Note">
          <xsd:maxLength value="255"/>
        </xsd:restriction>
      </xsd:simpleType>
    </xsd:element>
    <xsd:element name="Klarf_x00f6_rkorrl_x00e4_sning" ma:index="15" nillable="true" ma:displayName="Klar för korrläsning" ma:default="0" ma:format="Dropdown" ma:internalName="Klarf_x00f6_rkorrl_x00e4_sning">
      <xsd:simpleType>
        <xsd:restriction base="dms:Boolean"/>
      </xsd:simpleType>
    </xsd:element>
    <xsd:element name="Tilldelad" ma:index="16" nillable="true" ma:displayName="Tilldelad" ma:description="Nästa steg" ma:format="Dropdown" ma:list="UserInfo" ma:SharePointGroup="0" ma:internalName="Tilldel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7" nillable="true" ma:displayName="Status" ma:format="Dropdown" ma:internalName="Status">
      <xsd:simpleType>
        <xsd:restriction base="dms:Choice">
          <xsd:enumeration value="Klar för  korr"/>
          <xsd:enumeration value="Korrad"/>
          <xsd:enumeration value="Klar för Rise"/>
          <xsd:enumeration value="Överförd till Opti"/>
        </xsd:restriction>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35e339c2-3336-49b0-bd9c-757b63b8920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Sistainl_x00e4_mningsdag" ma:index="26" nillable="true" ma:displayName="Sista inlämningsdag" ma:format="DateOnly" ma:internalName="Sistainl_x00e4_mningsda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9b3afd-a485-44c8-b989-dcacfcc14166"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8bb551cd-8330-4af2-926a-5e4728dd845c}" ma:internalName="TaxCatchAll" ma:showField="CatchAllData" ma:web="079b3afd-a485-44c8-b989-dcacfcc141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fdc6804c-68ec-48bb-934e-d70b05f43593">Överförd till Opti</Status>
    <Kommentar xmlns="fdc6804c-68ec-48bb-934e-d70b05f43593" xsi:nil="true"/>
    <Sistainl_x00e4_mningsdag xmlns="fdc6804c-68ec-48bb-934e-d70b05f43593" xsi:nil="true"/>
    <TaxCatchAll xmlns="079b3afd-a485-44c8-b989-dcacfcc14166" xsi:nil="true"/>
    <Klarf_x00f6_rkorrl_x00e4_sning xmlns="fdc6804c-68ec-48bb-934e-d70b05f43593">false</Klarf_x00f6_rkorrl_x00e4_sning>
    <Tilldelad xmlns="fdc6804c-68ec-48bb-934e-d70b05f43593">
      <UserInfo>
        <DisplayName/>
        <AccountId xsi:nil="true"/>
        <AccountType/>
      </UserInfo>
    </Tilldelad>
    <lcf76f155ced4ddcb4097134ff3c332f xmlns="fdc6804c-68ec-48bb-934e-d70b05f43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DFC6C7-5B8E-4747-9B57-9C049461DA8F}">
  <ds:schemaRefs>
    <ds:schemaRef ds:uri="http://schemas.microsoft.com/sharepoint/v3/contenttype/forms"/>
  </ds:schemaRefs>
</ds:datastoreItem>
</file>

<file path=customXml/itemProps2.xml><?xml version="1.0" encoding="utf-8"?>
<ds:datastoreItem xmlns:ds="http://schemas.openxmlformats.org/officeDocument/2006/customXml" ds:itemID="{6187BE68-38FE-4B3C-85CA-2D14291D3BEC}"/>
</file>

<file path=customXml/itemProps3.xml><?xml version="1.0" encoding="utf-8"?>
<ds:datastoreItem xmlns:ds="http://schemas.openxmlformats.org/officeDocument/2006/customXml" ds:itemID="{97D923C5-0346-47B2-B1D5-1109D338D648}">
  <ds:schemaRefs>
    <ds:schemaRef ds:uri="http://schemas.microsoft.com/office/2006/metadata/properties"/>
    <ds:schemaRef ds:uri="http://schemas.microsoft.com/office/infopath/2007/PartnerControls"/>
    <ds:schemaRef ds:uri="fdc6804c-68ec-48bb-934e-d70b05f43593"/>
    <ds:schemaRef ds:uri="079b3afd-a485-44c8-b989-dcacfcc1416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1898</Words>
  <Characters>10061</Characters>
  <Application>Microsoft Office Word</Application>
  <DocSecurity>0</DocSecurity>
  <Lines>83</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 Wenner (Group Support Office)</dc:creator>
  <dc:description/>
  <cp:lastModifiedBy>Victoria Muller</cp:lastModifiedBy>
  <cp:revision>4</cp:revision>
  <dcterms:created xsi:type="dcterms:W3CDTF">2024-05-06T11:14:00Z</dcterms:created>
  <dcterms:modified xsi:type="dcterms:W3CDTF">2026-02-23T13:15:00Z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0x01010089B1932512ED344393C661E698BAE385</vt:lpwstr>
  </property>
  <property fmtid="{D5CDD505-2E9C-101B-9397-08002B2CF9AE}" pid="3" name="Order">
    <vt:r8>370400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