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EDA12" w14:textId="6FB4BBCC" w:rsidR="00BC16B4" w:rsidRDefault="00BC16B4" w:rsidP="00BC16B4">
      <w:r>
        <w:tab/>
      </w:r>
      <w:r>
        <w:tab/>
      </w:r>
      <w:r>
        <w:tab/>
      </w:r>
      <w:r>
        <w:rPr>
          <w:b/>
          <w:bCs/>
        </w:rPr>
        <w:t>REMISSVAR</w:t>
      </w:r>
      <w:r>
        <w:br/>
      </w:r>
      <w:r>
        <w:tab/>
      </w:r>
      <w:r>
        <w:tab/>
      </w:r>
      <w:r>
        <w:tab/>
        <w:t>2025-</w:t>
      </w:r>
      <w:r w:rsidR="006B4374">
        <w:t>08-14</w:t>
      </w:r>
      <w:r>
        <w:tab/>
      </w:r>
      <w:r>
        <w:tab/>
      </w:r>
      <w:r>
        <w:br/>
      </w:r>
      <w:r>
        <w:br/>
      </w:r>
      <w:r>
        <w:br/>
      </w:r>
      <w:r>
        <w:br/>
        <w:t xml:space="preserve">Finansdepartementet </w:t>
      </w:r>
      <w:r>
        <w:br/>
        <w:t>103 33  STOCKHOLM</w:t>
      </w:r>
      <w:r>
        <w:br/>
      </w:r>
      <w:r>
        <w:br/>
      </w:r>
      <w:r>
        <w:br/>
        <w:t>Dnr Fi2025/01062</w:t>
      </w:r>
      <w:r>
        <w:br/>
      </w:r>
      <w:r>
        <w:br/>
      </w:r>
      <w:r>
        <w:rPr>
          <w:b/>
          <w:bCs/>
        </w:rPr>
        <w:t>Sänkt mervärdesskatt på tillträde till danstillställningar</w:t>
      </w:r>
      <w:r>
        <w:br/>
      </w:r>
      <w:r>
        <w:br/>
        <w:t xml:space="preserve">I promemorian föreslås mervärdesskatten på tillträde till danstillställningar sänks från 25 procent till 6 procent. </w:t>
      </w:r>
      <w:r w:rsidR="009A4C50">
        <w:br/>
      </w:r>
      <w:r w:rsidR="009A4C50">
        <w:br/>
        <w:t xml:space="preserve">Srf konsulterna avstyrker förslaget. </w:t>
      </w:r>
      <w:r w:rsidR="00441649">
        <w:br/>
      </w:r>
      <w:r w:rsidR="00441649">
        <w:br/>
      </w:r>
      <w:r w:rsidR="001D24D5" w:rsidRPr="001D24D5">
        <w:rPr>
          <w:b/>
          <w:bCs/>
        </w:rPr>
        <w:t>Bakgrund</w:t>
      </w:r>
      <w:r w:rsidR="00441649">
        <w:br/>
      </w:r>
      <w:r w:rsidR="00441649">
        <w:br/>
        <w:t xml:space="preserve">Promemorian inleds med ett konstaterande att utgångspunkten bör vara enhetlig mervärdesskatt och tillämpning av normalskattesatsen om 25 procent. Detta mot bakgrund av att när mervärdesskatten sänks på ett område finns risk för gränsdragningsproblem och konkurrenssnedvridning. </w:t>
      </w:r>
      <w:r w:rsidR="001D24D5">
        <w:br/>
      </w:r>
      <w:r w:rsidR="001D24D5">
        <w:br/>
      </w:r>
      <w:r w:rsidR="001D24D5" w:rsidRPr="001D24D5">
        <w:rPr>
          <w:b/>
          <w:bCs/>
        </w:rPr>
        <w:t>Motivering</w:t>
      </w:r>
      <w:r w:rsidR="00441649">
        <w:br/>
      </w:r>
      <w:r w:rsidR="00441649">
        <w:br/>
        <w:t xml:space="preserve">Srf konsulterna delar promemorians bedömning </w:t>
      </w:r>
      <w:r w:rsidR="00CC486A">
        <w:t>om att när mervärdesskatten sänks på ett område finns risk för gränsdragningsproblem och konkurrenssnedvridning</w:t>
      </w:r>
      <w:r w:rsidR="00343B63">
        <w:t xml:space="preserve">. Srf konsulterna vill dock tillägga </w:t>
      </w:r>
      <w:r w:rsidR="00441649">
        <w:t xml:space="preserve">följande. </w:t>
      </w:r>
      <w:r w:rsidR="00EF637B">
        <w:t xml:space="preserve">Om det är fråga om ett eller flera tillhandahållanden har föranlett många rättsfall ända upp i EU-domstolen, dvs. det är många gånger svåra bedömningar. </w:t>
      </w:r>
      <w:r w:rsidR="00660BAE">
        <w:t>När olika delar i ett gemensamt tillhandahållande föranleder tillämpning av olika mervärdesskattesatser</w:t>
      </w:r>
      <w:r w:rsidR="00E444C7">
        <w:t xml:space="preserve"> sett vart och ett för sig</w:t>
      </w:r>
      <w:r w:rsidR="00660BAE">
        <w:t xml:space="preserve"> finns skäl att göra en bedömning av om det är fråga om ett eller flera tillhandahållanden.</w:t>
      </w:r>
      <w:r w:rsidR="009250F9">
        <w:t xml:space="preserve"> </w:t>
      </w:r>
      <w:r w:rsidR="00EF637B">
        <w:t xml:space="preserve">Skatteverket har </w:t>
      </w:r>
      <w:r w:rsidR="009250F9">
        <w:t xml:space="preserve">den 24 januari </w:t>
      </w:r>
      <w:r w:rsidR="00EF637B">
        <w:t xml:space="preserve">2025 beslutat ett ställningstagande med dnr </w:t>
      </w:r>
      <w:proofErr w:type="gramStart"/>
      <w:r w:rsidR="00EF637B" w:rsidRPr="00EF637B">
        <w:t>8-3094460</w:t>
      </w:r>
      <w:proofErr w:type="gramEnd"/>
      <w:r w:rsidR="00EF637B">
        <w:t xml:space="preserve"> </w:t>
      </w:r>
      <w:r w:rsidR="00EF637B" w:rsidRPr="00EF637B">
        <w:t xml:space="preserve">för att </w:t>
      </w:r>
      <w:r w:rsidR="00EF637B">
        <w:t xml:space="preserve">underlätta </w:t>
      </w:r>
      <w:r w:rsidR="00EF637B" w:rsidRPr="00EF637B">
        <w:t xml:space="preserve">bedömningen av </w:t>
      </w:r>
      <w:r w:rsidR="00EF637B">
        <w:t xml:space="preserve">om det är fråga om </w:t>
      </w:r>
      <w:r w:rsidR="00EF637B" w:rsidRPr="00EF637B">
        <w:t>ett eller flera tillhandahållanden</w:t>
      </w:r>
      <w:r w:rsidR="00EF637B">
        <w:t xml:space="preserve">. Ställningstagandet omfattar 17 </w:t>
      </w:r>
      <w:r w:rsidR="002936EB">
        <w:t xml:space="preserve">(!) </w:t>
      </w:r>
      <w:r w:rsidR="00EF637B">
        <w:t>sidor inklusive bilagan. Som sagt, detta är många gånger svåra bedömningar</w:t>
      </w:r>
      <w:r w:rsidR="00D46053">
        <w:t>, vilket ställningstagandets omfång illustrerar</w:t>
      </w:r>
      <w:r w:rsidR="00EF637B">
        <w:t xml:space="preserve">. </w:t>
      </w:r>
      <w:r w:rsidR="002936EB">
        <w:t>Bedömningar som</w:t>
      </w:r>
      <w:r w:rsidR="00EF637B">
        <w:t xml:space="preserve"> </w:t>
      </w:r>
      <w:r w:rsidR="002936EB">
        <w:t xml:space="preserve">– såvitt avser tillämplig mervärdesskattesats – </w:t>
      </w:r>
      <w:r w:rsidR="00EF637B">
        <w:t>inte skulle behöva</w:t>
      </w:r>
      <w:r w:rsidR="002936EB">
        <w:t xml:space="preserve"> göra</w:t>
      </w:r>
      <w:r w:rsidR="00EF637B">
        <w:t xml:space="preserve">s </w:t>
      </w:r>
      <w:r w:rsidR="002936EB">
        <w:t>om vi, lika som Danmark, endast hade en</w:t>
      </w:r>
      <w:r w:rsidR="00F73951">
        <w:t xml:space="preserve"> enda</w:t>
      </w:r>
      <w:r w:rsidR="002936EB">
        <w:t xml:space="preserve"> mervärdesskattesats. Att vi får vissa gränsdragningsproblem och risk för konkurrenssnedvridning är mot denna bakgrund endast en begränsad del av problematiken med att nu </w:t>
      </w:r>
      <w:r w:rsidR="0068045E">
        <w:t>skap</w:t>
      </w:r>
      <w:r w:rsidR="002936EB">
        <w:t xml:space="preserve">a ytterligare ett undantag från en enhetlig mervärdesskatt. </w:t>
      </w:r>
      <w:r w:rsidR="008B70E6">
        <w:br/>
      </w:r>
      <w:r w:rsidR="008B70E6">
        <w:br/>
      </w:r>
      <w:r w:rsidR="00CE2050">
        <w:t xml:space="preserve">I promemorian nämns att </w:t>
      </w:r>
      <w:r w:rsidR="001F7F62">
        <w:t xml:space="preserve">sänkt mervärdesskatt på danstillställningar bedöms vara lämpligare än ett stöd på utgiftssidan. </w:t>
      </w:r>
      <w:r w:rsidR="00A9597B">
        <w:t xml:space="preserve">Vidare nämns att </w:t>
      </w:r>
      <w:r w:rsidR="0001499C">
        <w:t xml:space="preserve">sänkt mervärdesskatt på danstillställningar bedöms minska skatteintäkterna med 0,44 miljarder kr årligen. </w:t>
      </w:r>
      <w:r w:rsidR="006F0E32">
        <w:t xml:space="preserve">Varför det som alternativ till sänkt mervärdesskatt skulle behövas ett stöd på utgiftssidan framgår inte. </w:t>
      </w:r>
      <w:r w:rsidR="00D473F6">
        <w:t xml:space="preserve">Med andra ord framgår inte varför det är ett allmänt intresse att </w:t>
      </w:r>
      <w:r w:rsidR="006C3CBD">
        <w:t>stödja – som promemorian nämner – f</w:t>
      </w:r>
      <w:r w:rsidR="001E15F0">
        <w:t xml:space="preserve">ramför allt diskjockeys. </w:t>
      </w:r>
      <w:r w:rsidR="005A0736">
        <w:t xml:space="preserve">Sådant behov förefaller inte ha funnits tidigare, men har </w:t>
      </w:r>
      <w:r w:rsidR="004A4F4E">
        <w:t xml:space="preserve">nu </w:t>
      </w:r>
      <w:r w:rsidR="005A0736">
        <w:t xml:space="preserve">alltså uppstått. </w:t>
      </w:r>
      <w:r w:rsidR="001C25C3">
        <w:t xml:space="preserve">Srf konsulterna, som drabbas av den extra administrationsbördan av att hantera ytterligare ett undantag från </w:t>
      </w:r>
      <w:r w:rsidR="00006285">
        <w:t>normalskattesatsen om 25 procent ställer sig frågande</w:t>
      </w:r>
      <w:r w:rsidR="00F324A7">
        <w:t xml:space="preserve"> till va</w:t>
      </w:r>
      <w:r w:rsidR="00060D4E">
        <w:t>rför</w:t>
      </w:r>
      <w:r w:rsidR="00323CE9">
        <w:t xml:space="preserve"> </w:t>
      </w:r>
      <w:r w:rsidR="0075301C">
        <w:t xml:space="preserve">sänkt mervärdesskatt alternativt </w:t>
      </w:r>
      <w:r w:rsidR="00EF2591">
        <w:t xml:space="preserve">stöd på utgiftssidan till </w:t>
      </w:r>
      <w:r w:rsidR="003857D7">
        <w:t xml:space="preserve">– i praktiken – </w:t>
      </w:r>
      <w:r w:rsidR="00EF2591">
        <w:t xml:space="preserve">diskjockeys </w:t>
      </w:r>
      <w:r w:rsidR="00F324A7">
        <w:t>nu har uppstått</w:t>
      </w:r>
      <w:r w:rsidR="00006285">
        <w:t xml:space="preserve">. </w:t>
      </w:r>
      <w:r w:rsidR="005B65E6">
        <w:br/>
      </w:r>
      <w:r w:rsidR="00E81339">
        <w:br/>
      </w:r>
      <w:r w:rsidR="00491B49">
        <w:lastRenderedPageBreak/>
        <w:t xml:space="preserve">Mot denna bakgrund avstyrker Srf konsulterna förslaget. </w:t>
      </w:r>
      <w:r w:rsidR="00BD0BE6">
        <w:t>Srf konsulterna vill ta tillfället att föreslå att en utredning tillsätts med uppgift att uppnå förenklingar av mervärdesskatten</w:t>
      </w:r>
      <w:r w:rsidR="001E6BAB">
        <w:t xml:space="preserve">. </w:t>
      </w:r>
      <w:r w:rsidR="002936EB">
        <w:br/>
      </w:r>
      <w:r w:rsidR="002936EB">
        <w:br/>
      </w:r>
      <w:r>
        <w:t>Stockholm som ovan</w:t>
      </w:r>
      <w:r>
        <w:br/>
      </w:r>
      <w:r>
        <w:br/>
      </w:r>
      <w:r>
        <w:br/>
      </w:r>
      <w:r>
        <w:br/>
        <w:t xml:space="preserve">Lena Lind </w:t>
      </w:r>
      <w:r>
        <w:tab/>
      </w:r>
      <w:r>
        <w:tab/>
      </w:r>
      <w:r>
        <w:tab/>
        <w:t>Leif Hagström</w:t>
      </w:r>
      <w:r>
        <w:br/>
        <w:t>VD och Förbundsdirektör</w:t>
      </w:r>
      <w:r>
        <w:tab/>
      </w:r>
      <w:r>
        <w:tab/>
        <w:t>Skattejurist</w:t>
      </w:r>
      <w:r>
        <w:br/>
      </w:r>
      <w:hyperlink r:id="rId4" w:history="1">
        <w:r w:rsidRPr="004157B6">
          <w:rPr>
            <w:rStyle w:val="Hyperlnk"/>
          </w:rPr>
          <w:t>lena.lind@srfkonsult.se</w:t>
        </w:r>
      </w:hyperlink>
      <w:r>
        <w:tab/>
      </w:r>
      <w:r>
        <w:tab/>
      </w:r>
      <w:hyperlink r:id="rId5" w:history="1">
        <w:r w:rsidRPr="004157B6">
          <w:rPr>
            <w:rStyle w:val="Hyperlnk"/>
          </w:rPr>
          <w:t>leif.hagstrom@srfkonsult.se</w:t>
        </w:r>
      </w:hyperlink>
    </w:p>
    <w:p w14:paraId="2E8F4F8F" w14:textId="77777777" w:rsidR="00BC16B4" w:rsidRDefault="00BC16B4" w:rsidP="00BC16B4"/>
    <w:p w14:paraId="57B0C3B2" w14:textId="77777777" w:rsidR="00BC16B4" w:rsidRDefault="00BC16B4" w:rsidP="00BC16B4"/>
    <w:p w14:paraId="495609C4" w14:textId="0E5278DF" w:rsidR="00BC16B4" w:rsidRPr="00BC16B4" w:rsidRDefault="00BC16B4" w:rsidP="00BC16B4">
      <w:pPr>
        <w:rPr>
          <w:b/>
          <w:bCs/>
        </w:rPr>
      </w:pPr>
      <w:r w:rsidRPr="00BC16B4">
        <w:rPr>
          <w:b/>
          <w:bCs/>
        </w:rPr>
        <w:t>Srf konsulterna</w:t>
      </w:r>
      <w:r>
        <w:rPr>
          <w:b/>
          <w:bCs/>
        </w:rPr>
        <w:br/>
      </w:r>
    </w:p>
    <w:p w14:paraId="1F293F86" w14:textId="53459E96" w:rsidR="00DE2FB1" w:rsidRPr="00BC16B4" w:rsidRDefault="00BC16B4" w:rsidP="00BC16B4">
      <w:r w:rsidRPr="00BC16B4">
        <w:t>Srf konsulterna är Sveriges ledande branschorganisation inom redovisning och lön. Srf konsulterna har 7 000 medlemmar, varav cirka 3 600 är Srf Auktoriserade Redovisningskonsulter och Srf Auktoriserade Lönekonsulter, som bistår cirka 300 000 företag.</w:t>
      </w:r>
      <w:r w:rsidR="00C831B5">
        <w:t xml:space="preserve"> </w:t>
      </w:r>
      <w:r w:rsidRPr="00BC16B4">
        <w:t>Auktorisationen är en kvalitetsstämpel som borgar för trygghet, kompetens och förtroende.</w:t>
      </w:r>
    </w:p>
    <w:p w14:paraId="5C7D06E4" w14:textId="77777777" w:rsidR="0091383E" w:rsidRDefault="0091383E" w:rsidP="00BC16B4"/>
    <w:p w14:paraId="5E83F819" w14:textId="77777777" w:rsidR="0091383E" w:rsidRDefault="0091383E" w:rsidP="00BC16B4"/>
    <w:p w14:paraId="3E409B50" w14:textId="058A0AD1" w:rsidR="00BC16B4" w:rsidRDefault="0091383E" w:rsidP="00BC16B4">
      <w:r>
        <w:br/>
      </w:r>
      <w:r>
        <w:br/>
      </w:r>
      <w:r w:rsidR="00BC16B4">
        <w:br/>
      </w:r>
      <w:r w:rsidR="00BC16B4">
        <w:br/>
      </w:r>
      <w:r w:rsidR="00BC16B4">
        <w:br/>
      </w:r>
      <w:r w:rsidR="00BC16B4">
        <w:br/>
      </w:r>
      <w:r w:rsidR="00BC16B4">
        <w:br/>
      </w:r>
      <w:r w:rsidR="00BC16B4">
        <w:br/>
      </w:r>
      <w:r w:rsidR="00BC16B4">
        <w:br/>
      </w:r>
      <w:r w:rsidR="00BC16B4">
        <w:br/>
      </w:r>
    </w:p>
    <w:p w14:paraId="4F932B17" w14:textId="77777777" w:rsidR="00BC16B4" w:rsidRDefault="00BC16B4" w:rsidP="00BC16B4"/>
    <w:p w14:paraId="2BFF0D82" w14:textId="77777777" w:rsidR="00BC16B4" w:rsidRDefault="00BC16B4"/>
    <w:sectPr w:rsidR="00BC16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B4"/>
    <w:rsid w:val="00006285"/>
    <w:rsid w:val="0001499C"/>
    <w:rsid w:val="00060D4E"/>
    <w:rsid w:val="001C25C3"/>
    <w:rsid w:val="001D24D5"/>
    <w:rsid w:val="001E15F0"/>
    <w:rsid w:val="001E6BAB"/>
    <w:rsid w:val="001F7F62"/>
    <w:rsid w:val="00291F32"/>
    <w:rsid w:val="002936EB"/>
    <w:rsid w:val="00323CE9"/>
    <w:rsid w:val="00343B63"/>
    <w:rsid w:val="003857D7"/>
    <w:rsid w:val="00437426"/>
    <w:rsid w:val="00441649"/>
    <w:rsid w:val="00491B49"/>
    <w:rsid w:val="004A4F4E"/>
    <w:rsid w:val="004A63EC"/>
    <w:rsid w:val="005A0736"/>
    <w:rsid w:val="005B65E6"/>
    <w:rsid w:val="00660BAE"/>
    <w:rsid w:val="0068045E"/>
    <w:rsid w:val="006B4374"/>
    <w:rsid w:val="006C3CBD"/>
    <w:rsid w:val="006F0E32"/>
    <w:rsid w:val="0075301C"/>
    <w:rsid w:val="00833EED"/>
    <w:rsid w:val="00897BF4"/>
    <w:rsid w:val="008B70E6"/>
    <w:rsid w:val="0091383E"/>
    <w:rsid w:val="009154C1"/>
    <w:rsid w:val="009250F9"/>
    <w:rsid w:val="009A4C50"/>
    <w:rsid w:val="00A37429"/>
    <w:rsid w:val="00A9597B"/>
    <w:rsid w:val="00B27248"/>
    <w:rsid w:val="00BA1E33"/>
    <w:rsid w:val="00BC0533"/>
    <w:rsid w:val="00BC16B4"/>
    <w:rsid w:val="00BD0BE6"/>
    <w:rsid w:val="00C831B5"/>
    <w:rsid w:val="00CC3FBA"/>
    <w:rsid w:val="00CC486A"/>
    <w:rsid w:val="00CE2050"/>
    <w:rsid w:val="00D46053"/>
    <w:rsid w:val="00D473F6"/>
    <w:rsid w:val="00D77F54"/>
    <w:rsid w:val="00DE2FB1"/>
    <w:rsid w:val="00DE3B03"/>
    <w:rsid w:val="00E444C7"/>
    <w:rsid w:val="00E81339"/>
    <w:rsid w:val="00EF2591"/>
    <w:rsid w:val="00EF637B"/>
    <w:rsid w:val="00F324A7"/>
    <w:rsid w:val="00F739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B6F1"/>
  <w15:chartTrackingRefBased/>
  <w15:docId w15:val="{5BA84754-CDD7-44F5-8BA4-26ACD581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6B4"/>
    <w:pPr>
      <w:spacing w:after="0" w:line="240" w:lineRule="auto"/>
    </w:pPr>
    <w:rPr>
      <w:rFonts w:ascii="Calibri" w:hAnsi="Calibri" w:cs="Calibri"/>
      <w:kern w:val="0"/>
      <w:sz w:val="22"/>
      <w:szCs w:val="22"/>
      <w14:ligatures w14:val="none"/>
    </w:rPr>
  </w:style>
  <w:style w:type="paragraph" w:styleId="Rubrik1">
    <w:name w:val="heading 1"/>
    <w:basedOn w:val="Normal"/>
    <w:next w:val="Normal"/>
    <w:link w:val="Rubrik1Char"/>
    <w:uiPriority w:val="9"/>
    <w:qFormat/>
    <w:rsid w:val="00BC1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C1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C16B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C16B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C16B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C16B4"/>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C16B4"/>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C16B4"/>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C16B4"/>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C16B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C16B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C16B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C16B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C16B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C16B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C16B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C16B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C16B4"/>
    <w:rPr>
      <w:rFonts w:eastAsiaTheme="majorEastAsia" w:cstheme="majorBidi"/>
      <w:color w:val="272727" w:themeColor="text1" w:themeTint="D8"/>
    </w:rPr>
  </w:style>
  <w:style w:type="paragraph" w:styleId="Rubrik">
    <w:name w:val="Title"/>
    <w:basedOn w:val="Normal"/>
    <w:next w:val="Normal"/>
    <w:link w:val="RubrikChar"/>
    <w:uiPriority w:val="10"/>
    <w:qFormat/>
    <w:rsid w:val="00BC16B4"/>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C16B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C16B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C16B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C16B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C16B4"/>
    <w:rPr>
      <w:i/>
      <w:iCs/>
      <w:color w:val="404040" w:themeColor="text1" w:themeTint="BF"/>
    </w:rPr>
  </w:style>
  <w:style w:type="paragraph" w:styleId="Liststycke">
    <w:name w:val="List Paragraph"/>
    <w:basedOn w:val="Normal"/>
    <w:uiPriority w:val="34"/>
    <w:qFormat/>
    <w:rsid w:val="00BC16B4"/>
    <w:pPr>
      <w:ind w:left="720"/>
      <w:contextualSpacing/>
    </w:pPr>
  </w:style>
  <w:style w:type="character" w:styleId="Starkbetoning">
    <w:name w:val="Intense Emphasis"/>
    <w:basedOn w:val="Standardstycketeckensnitt"/>
    <w:uiPriority w:val="21"/>
    <w:qFormat/>
    <w:rsid w:val="00BC16B4"/>
    <w:rPr>
      <w:i/>
      <w:iCs/>
      <w:color w:val="0F4761" w:themeColor="accent1" w:themeShade="BF"/>
    </w:rPr>
  </w:style>
  <w:style w:type="paragraph" w:styleId="Starktcitat">
    <w:name w:val="Intense Quote"/>
    <w:basedOn w:val="Normal"/>
    <w:next w:val="Normal"/>
    <w:link w:val="StarktcitatChar"/>
    <w:uiPriority w:val="30"/>
    <w:qFormat/>
    <w:rsid w:val="00BC1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C16B4"/>
    <w:rPr>
      <w:i/>
      <w:iCs/>
      <w:color w:val="0F4761" w:themeColor="accent1" w:themeShade="BF"/>
    </w:rPr>
  </w:style>
  <w:style w:type="character" w:styleId="Starkreferens">
    <w:name w:val="Intense Reference"/>
    <w:basedOn w:val="Standardstycketeckensnitt"/>
    <w:uiPriority w:val="32"/>
    <w:qFormat/>
    <w:rsid w:val="00BC16B4"/>
    <w:rPr>
      <w:b/>
      <w:bCs/>
      <w:smallCaps/>
      <w:color w:val="0F4761" w:themeColor="accent1" w:themeShade="BF"/>
      <w:spacing w:val="5"/>
    </w:rPr>
  </w:style>
  <w:style w:type="character" w:styleId="Hyperlnk">
    <w:name w:val="Hyperlink"/>
    <w:basedOn w:val="Standardstycketeckensnitt"/>
    <w:uiPriority w:val="99"/>
    <w:unhideWhenUsed/>
    <w:rsid w:val="00BC16B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84322">
      <w:bodyDiv w:val="1"/>
      <w:marLeft w:val="0"/>
      <w:marRight w:val="0"/>
      <w:marTop w:val="0"/>
      <w:marBottom w:val="0"/>
      <w:divBdr>
        <w:top w:val="none" w:sz="0" w:space="0" w:color="auto"/>
        <w:left w:val="none" w:sz="0" w:space="0" w:color="auto"/>
        <w:bottom w:val="none" w:sz="0" w:space="0" w:color="auto"/>
        <w:right w:val="none" w:sz="0" w:space="0" w:color="auto"/>
      </w:divBdr>
    </w:div>
    <w:div w:id="102016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if.hagstrom@srfkonsult.se" TargetMode="External"/><Relationship Id="rId4" Type="http://schemas.openxmlformats.org/officeDocument/2006/relationships/hyperlink" Target="mailto:lena.lind@srfkonsul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559</Words>
  <Characters>2964</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Hagström</dc:creator>
  <cp:keywords/>
  <dc:description/>
  <cp:lastModifiedBy>Leif Hagström</cp:lastModifiedBy>
  <cp:revision>50</cp:revision>
  <dcterms:created xsi:type="dcterms:W3CDTF">2025-06-04T11:12:00Z</dcterms:created>
  <dcterms:modified xsi:type="dcterms:W3CDTF">2025-08-14T11:11:00Z</dcterms:modified>
</cp:coreProperties>
</file>